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422" w:rsidRPr="00B822FC" w:rsidRDefault="00C15422" w:rsidP="00B3240E">
      <w:pPr>
        <w:jc w:val="center"/>
        <w:rPr>
          <w:rFonts w:ascii="Arial" w:hAnsi="Arial" w:cs="Arial"/>
          <w:b/>
          <w:sz w:val="20"/>
          <w:u w:val="single"/>
        </w:rPr>
      </w:pPr>
      <w:bookmarkStart w:id="0" w:name="_GoBack"/>
      <w:bookmarkEnd w:id="0"/>
      <w:r w:rsidRPr="00B822FC">
        <w:rPr>
          <w:rFonts w:ascii="Arial" w:hAnsi="Arial" w:cs="Arial"/>
          <w:b/>
          <w:sz w:val="20"/>
          <w:u w:val="single"/>
        </w:rPr>
        <w:t>TOWSON UNIVERSITY - PROMOTION, TENURE, REAPPOINTMENT AND MERIT COMMITTEE</w:t>
      </w:r>
    </w:p>
    <w:p w:rsidR="00C15422" w:rsidRPr="00B822FC" w:rsidRDefault="00C15422" w:rsidP="00B3240E">
      <w:pPr>
        <w:jc w:val="center"/>
        <w:rPr>
          <w:rFonts w:ascii="Arial" w:hAnsi="Arial" w:cs="Arial"/>
          <w:b/>
        </w:rPr>
      </w:pPr>
      <w:r w:rsidRPr="00B822FC">
        <w:rPr>
          <w:rFonts w:ascii="Arial" w:hAnsi="Arial" w:cs="Arial"/>
          <w:b/>
        </w:rPr>
        <w:t xml:space="preserve">DEPARTMENT CHECKLIST  </w:t>
      </w:r>
    </w:p>
    <w:p w:rsidR="00C15422" w:rsidRPr="00B822FC" w:rsidRDefault="00C15422" w:rsidP="00B3240E">
      <w:pPr>
        <w:jc w:val="center"/>
        <w:rPr>
          <w:rFonts w:ascii="Arial" w:hAnsi="Arial" w:cs="Arial"/>
          <w:b/>
          <w:sz w:val="20"/>
        </w:rPr>
      </w:pPr>
      <w:r w:rsidRPr="00B822FC">
        <w:rPr>
          <w:rFonts w:ascii="Arial" w:hAnsi="Arial" w:cs="Arial"/>
          <w:b/>
          <w:sz w:val="20"/>
        </w:rPr>
        <w:t xml:space="preserve">ART APPENDIX III REFERENCES TO DEPARTMENT </w:t>
      </w:r>
      <w:r>
        <w:rPr>
          <w:rFonts w:ascii="Arial" w:hAnsi="Arial" w:cs="Arial"/>
          <w:b/>
          <w:sz w:val="20"/>
        </w:rPr>
        <w:t xml:space="preserve">PTRM </w:t>
      </w:r>
      <w:r w:rsidRPr="00B822FC">
        <w:rPr>
          <w:rFonts w:ascii="Arial" w:hAnsi="Arial" w:cs="Arial"/>
          <w:b/>
          <w:sz w:val="20"/>
        </w:rPr>
        <w:t>POLICIES AND PROCEDURES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740"/>
        <w:gridCol w:w="1077"/>
        <w:gridCol w:w="1139"/>
      </w:tblGrid>
      <w:tr w:rsidR="00C15422" w:rsidRPr="003F6A74">
        <w:tc>
          <w:tcPr>
            <w:tcW w:w="484" w:type="dxa"/>
          </w:tcPr>
          <w:p w:rsidR="00C15422" w:rsidRPr="003F6A74" w:rsidRDefault="00C15422" w:rsidP="00B3240E">
            <w:pPr>
              <w:jc w:val="center"/>
              <w:rPr>
                <w:rFonts w:ascii="Arial" w:hAnsi="Arial" w:cs="Arial"/>
                <w:b/>
                <w:sz w:val="18"/>
              </w:rPr>
            </w:pPr>
          </w:p>
          <w:p w:rsidR="00C15422" w:rsidRPr="003F6A74" w:rsidRDefault="00C15422" w:rsidP="00B3240E">
            <w:pPr>
              <w:jc w:val="center"/>
              <w:rPr>
                <w:rFonts w:ascii="Arial" w:hAnsi="Arial" w:cs="Arial"/>
                <w:b/>
                <w:sz w:val="18"/>
              </w:rPr>
            </w:pPr>
            <w:r w:rsidRPr="003F6A74">
              <w:rPr>
                <w:rFonts w:ascii="Arial" w:hAnsi="Arial" w:cs="Arial"/>
                <w:b/>
                <w:sz w:val="18"/>
              </w:rPr>
              <w:sym w:font="Wingdings" w:char="F0FC"/>
            </w:r>
          </w:p>
        </w:tc>
        <w:tc>
          <w:tcPr>
            <w:tcW w:w="7740" w:type="dxa"/>
          </w:tcPr>
          <w:p w:rsidR="00C15422" w:rsidRPr="003F6A74" w:rsidRDefault="00C15422" w:rsidP="00B3240E">
            <w:pPr>
              <w:jc w:val="center"/>
              <w:rPr>
                <w:rFonts w:ascii="Arial" w:hAnsi="Arial" w:cs="Arial"/>
                <w:b/>
                <w:sz w:val="18"/>
              </w:rPr>
            </w:pPr>
            <w:r w:rsidRPr="003F6A74">
              <w:rPr>
                <w:rFonts w:ascii="Arial" w:hAnsi="Arial" w:cs="Arial"/>
                <w:b/>
                <w:sz w:val="18"/>
              </w:rPr>
              <w:t>[College/ DEPARTMENT Names here]</w:t>
            </w:r>
          </w:p>
        </w:tc>
        <w:tc>
          <w:tcPr>
            <w:tcW w:w="1077" w:type="dxa"/>
          </w:tcPr>
          <w:p w:rsidR="00C15422" w:rsidRPr="003F6A74" w:rsidRDefault="00C15422" w:rsidP="009C35B1">
            <w:pPr>
              <w:jc w:val="center"/>
              <w:rPr>
                <w:rFonts w:ascii="Arial" w:hAnsi="Arial" w:cs="Arial"/>
                <w:b/>
                <w:sz w:val="18"/>
              </w:rPr>
            </w:pPr>
            <w:r w:rsidRPr="003F6A74">
              <w:rPr>
                <w:rFonts w:ascii="Arial" w:hAnsi="Arial" w:cs="Arial"/>
                <w:b/>
                <w:sz w:val="18"/>
              </w:rPr>
              <w:t>Page in ART: APPEN. 3</w:t>
            </w:r>
          </w:p>
          <w:p w:rsidR="00C15422" w:rsidRPr="003F6A74" w:rsidRDefault="00C15422" w:rsidP="009C35B1">
            <w:pPr>
              <w:jc w:val="center"/>
              <w:rPr>
                <w:rFonts w:ascii="Arial" w:hAnsi="Arial" w:cs="Arial"/>
                <w:b/>
                <w:sz w:val="18"/>
              </w:rPr>
            </w:pPr>
            <w:r w:rsidRPr="003F6A74">
              <w:rPr>
                <w:rFonts w:ascii="Arial" w:hAnsi="Arial" w:cs="Arial"/>
                <w:b/>
                <w:sz w:val="18"/>
              </w:rPr>
              <w:t>(03.01.11)</w:t>
            </w:r>
          </w:p>
        </w:tc>
        <w:tc>
          <w:tcPr>
            <w:tcW w:w="1139" w:type="dxa"/>
          </w:tcPr>
          <w:p w:rsidR="00C15422" w:rsidRPr="003F6A74" w:rsidRDefault="00C15422" w:rsidP="00B3240E">
            <w:pPr>
              <w:jc w:val="center"/>
              <w:rPr>
                <w:rFonts w:ascii="Arial" w:hAnsi="Arial" w:cs="Arial"/>
                <w:b/>
                <w:sz w:val="18"/>
              </w:rPr>
            </w:pPr>
            <w:r w:rsidRPr="003F6A74">
              <w:rPr>
                <w:rFonts w:ascii="Arial" w:hAnsi="Arial" w:cs="Arial"/>
                <w:b/>
                <w:sz w:val="18"/>
              </w:rPr>
              <w:t>Page in Dept. PTRM  doc.</w:t>
            </w:r>
          </w:p>
        </w:tc>
      </w:tr>
    </w:tbl>
    <w:p w:rsidR="00C15422" w:rsidRPr="003F6A74" w:rsidRDefault="00C15422" w:rsidP="00850F2D">
      <w:pPr>
        <w:numPr>
          <w:ilvl w:val="0"/>
          <w:numId w:val="1"/>
        </w:numPr>
        <w:spacing w:beforeLines="20" w:before="48" w:afterLines="20" w:after="48"/>
        <w:rPr>
          <w:rFonts w:ascii="Arial" w:hAnsi="Arial" w:cs="Arial"/>
          <w:b/>
          <w:sz w:val="18"/>
        </w:rPr>
      </w:pPr>
      <w:r w:rsidRPr="003F6A74">
        <w:rPr>
          <w:rFonts w:ascii="Arial" w:hAnsi="Arial" w:cs="Arial"/>
          <w:b/>
          <w:sz w:val="18"/>
        </w:rPr>
        <w:t>Membership of the Departmental committee(s) for Promotion, Tenure/Reappointment and Merit: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7831"/>
        <w:gridCol w:w="1080"/>
        <w:gridCol w:w="1080"/>
      </w:tblGrid>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Composition</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3-30</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Election of committee members, including dates and method of vote</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3-30</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How alternates are chosen/vacancies filled</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3-30</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Eligibility and term</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3-30</w:t>
            </w:r>
          </w:p>
        </w:tc>
        <w:tc>
          <w:tcPr>
            <w:tcW w:w="1080" w:type="dxa"/>
          </w:tcPr>
          <w:p w:rsidR="00C15422" w:rsidRPr="003F6A74" w:rsidRDefault="00C15422" w:rsidP="00850F2D">
            <w:pPr>
              <w:spacing w:beforeLines="20" w:before="48" w:afterLines="20" w:after="48"/>
              <w:rPr>
                <w:rFonts w:ascii="Arial" w:hAnsi="Arial" w:cs="Arial"/>
                <w:sz w:val="18"/>
              </w:rPr>
            </w:pPr>
          </w:p>
        </w:tc>
      </w:tr>
    </w:tbl>
    <w:p w:rsidR="00C15422" w:rsidRPr="003F6A74" w:rsidRDefault="00C15422" w:rsidP="00850F2D">
      <w:pPr>
        <w:numPr>
          <w:ilvl w:val="0"/>
          <w:numId w:val="1"/>
        </w:numPr>
        <w:spacing w:beforeLines="20" w:before="48" w:afterLines="20" w:after="48"/>
        <w:rPr>
          <w:rFonts w:ascii="Arial" w:hAnsi="Arial" w:cs="Arial"/>
          <w:b/>
          <w:sz w:val="18"/>
        </w:rPr>
      </w:pPr>
      <w:r w:rsidRPr="003F6A74">
        <w:rPr>
          <w:rFonts w:ascii="Arial" w:hAnsi="Arial" w:cs="Arial"/>
          <w:b/>
          <w:sz w:val="18"/>
        </w:rPr>
        <w:t>Policies and procedures: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7831"/>
        <w:gridCol w:w="1080"/>
        <w:gridCol w:w="1080"/>
      </w:tblGrid>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 xml:space="preserve">Confidentiality </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Definition of quorum</w:t>
            </w:r>
          </w:p>
        </w:tc>
        <w:tc>
          <w:tcPr>
            <w:tcW w:w="1080" w:type="dxa"/>
          </w:tcPr>
          <w:p w:rsidR="00C15422" w:rsidRPr="003F6A74" w:rsidRDefault="00C15422" w:rsidP="00850F2D">
            <w:pPr>
              <w:spacing w:beforeLines="20" w:before="48" w:afterLines="20" w:after="48"/>
              <w:rPr>
                <w:rFonts w:ascii="Arial" w:hAnsi="Arial" w:cs="Arial"/>
                <w:b/>
                <w:sz w:val="18"/>
              </w:rPr>
            </w:pPr>
            <w:r w:rsidRPr="003F6A74">
              <w:rPr>
                <w:rFonts w:ascii="Arial" w:hAnsi="Arial" w:cs="Arial"/>
                <w:b/>
                <w:sz w:val="18"/>
              </w:rPr>
              <w:t>*</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Evaluation Portfolio materials required for submission</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3-2-7</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Voting privileges of faculty on sabbatical or other leave</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3-10</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Procedure for evaluation of teaching by peers</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3-12</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Procedure for evaluation of teaching by students</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3-12</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 xml:space="preserve">Procedures for deliberation </w:t>
            </w:r>
            <w:r w:rsidRPr="003F6A74">
              <w:rPr>
                <w:rFonts w:ascii="Arial" w:hAnsi="Arial" w:cs="Arial"/>
                <w:b/>
                <w:sz w:val="18"/>
              </w:rPr>
              <w:t>on evaluation of Portfolios</w:t>
            </w:r>
            <w:r w:rsidRPr="003F6A74">
              <w:rPr>
                <w:rFonts w:ascii="Arial" w:hAnsi="Arial" w:cs="Arial"/>
                <w:sz w:val="18"/>
              </w:rPr>
              <w:t xml:space="preserve"> and department/college standards</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3-15</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 xml:space="preserve">Voting procedures </w:t>
            </w:r>
            <w:r w:rsidRPr="003F6A74">
              <w:rPr>
                <w:rFonts w:ascii="Arial" w:hAnsi="Arial" w:cs="Arial"/>
                <w:b/>
                <w:sz w:val="18"/>
              </w:rPr>
              <w:t>&amp; clearly define what constitutes a majority vote.</w:t>
            </w:r>
            <w:r w:rsidRPr="003F6A74">
              <w:rPr>
                <w:rFonts w:ascii="Arial" w:hAnsi="Arial" w:cs="Arial"/>
                <w:sz w:val="18"/>
              </w:rPr>
              <w:t xml:space="preserve"> </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3-15</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b/>
                <w:sz w:val="18"/>
              </w:rPr>
              <w:t>Inclusion of AR forms consistent with ART and any other department forms used for evaluating performance or tabulating information</w:t>
            </w:r>
            <w:r w:rsidRPr="003F6A74">
              <w:rPr>
                <w:rFonts w:ascii="Arial" w:hAnsi="Arial" w:cs="Arial"/>
                <w:sz w:val="18"/>
              </w:rPr>
              <w:t>.</w:t>
            </w:r>
          </w:p>
        </w:tc>
        <w:tc>
          <w:tcPr>
            <w:tcW w:w="1080" w:type="dxa"/>
          </w:tcPr>
          <w:p w:rsidR="00C15422" w:rsidRPr="003F6A74" w:rsidRDefault="00C15422" w:rsidP="00850F2D">
            <w:pPr>
              <w:spacing w:beforeLines="20" w:before="48" w:afterLines="20" w:after="48"/>
              <w:rPr>
                <w:rFonts w:ascii="Arial" w:hAnsi="Arial" w:cs="Arial"/>
                <w:b/>
                <w:sz w:val="18"/>
              </w:rPr>
            </w:pPr>
            <w:r w:rsidRPr="003F6A74">
              <w:rPr>
                <w:rFonts w:ascii="Arial" w:hAnsi="Arial" w:cs="Arial"/>
                <w:b/>
                <w:sz w:val="18"/>
              </w:rPr>
              <w:t>*</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Schedule and procedures for third-year review</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3-22-23</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Reporting to candidates</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3-25</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Role of department committee chair</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3-25</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Role of department chair</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3-25</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Schedule and procedures for comprehensive (five-year) review</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3-26-28</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Relationship between rank and merit committees, if they differ</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3-30</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Review of document</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3-31</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Appeal procedures: Promotion, Tenure, Review, Merit</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3-31-33</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49" w:type="dxa"/>
          </w:tcPr>
          <w:p w:rsidR="00C15422" w:rsidRPr="003F6A74" w:rsidRDefault="00C15422" w:rsidP="00850F2D">
            <w:pPr>
              <w:spacing w:beforeLines="20" w:before="48" w:afterLines="20" w:after="48"/>
              <w:rPr>
                <w:rFonts w:ascii="Arial" w:hAnsi="Arial" w:cs="Arial"/>
                <w:sz w:val="18"/>
              </w:rPr>
            </w:pPr>
          </w:p>
        </w:tc>
        <w:tc>
          <w:tcPr>
            <w:tcW w:w="7831"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Vote on approval of this document when it is new or revised</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3-9</w:t>
            </w:r>
          </w:p>
        </w:tc>
        <w:tc>
          <w:tcPr>
            <w:tcW w:w="1080" w:type="dxa"/>
          </w:tcPr>
          <w:p w:rsidR="00C15422" w:rsidRPr="003F6A74" w:rsidRDefault="00C15422" w:rsidP="00850F2D">
            <w:pPr>
              <w:spacing w:beforeLines="20" w:before="48" w:afterLines="20" w:after="48"/>
              <w:rPr>
                <w:rFonts w:ascii="Arial" w:hAnsi="Arial" w:cs="Arial"/>
                <w:sz w:val="18"/>
              </w:rPr>
            </w:pPr>
          </w:p>
        </w:tc>
      </w:tr>
    </w:tbl>
    <w:p w:rsidR="00C15422" w:rsidRPr="003F6A74" w:rsidRDefault="00C15422" w:rsidP="00850F2D">
      <w:pPr>
        <w:numPr>
          <w:ilvl w:val="0"/>
          <w:numId w:val="1"/>
        </w:numPr>
        <w:spacing w:beforeLines="20" w:before="48" w:afterLines="20" w:after="48"/>
        <w:rPr>
          <w:rFonts w:ascii="Arial" w:hAnsi="Arial" w:cs="Arial"/>
          <w:b/>
          <w:sz w:val="18"/>
        </w:rPr>
      </w:pPr>
      <w:r w:rsidRPr="003F6A74">
        <w:rPr>
          <w:rFonts w:ascii="Arial" w:hAnsi="Arial" w:cs="Arial"/>
          <w:b/>
          <w:sz w:val="18"/>
        </w:rPr>
        <w:t>Department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7830"/>
        <w:gridCol w:w="1080"/>
        <w:gridCol w:w="1080"/>
      </w:tblGrid>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 xml:space="preserve">Specific standards and criteria for evaluation that apply to all faculty in the department for tenure and promotion to each rank. Procedures for evaluation of individual differences and differences in specialization as represented by AR/CAR Part II if any variances are considered necessary by the department. </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3-10-14</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 xml:space="preserve">Specific standards and criteria for evaluation for merit at each level. Procedures for evaluation of individual differences and differences in specialization as represented by AR/CAR Part II, if variances are considered necessary by the department. </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3-17-19</w:t>
            </w:r>
          </w:p>
        </w:tc>
        <w:tc>
          <w:tcPr>
            <w:tcW w:w="1080" w:type="dxa"/>
          </w:tcPr>
          <w:p w:rsidR="00C15422" w:rsidRPr="003F6A74" w:rsidRDefault="00C15422" w:rsidP="00850F2D">
            <w:pPr>
              <w:spacing w:beforeLines="20" w:before="48" w:afterLines="20" w:after="48"/>
              <w:rPr>
                <w:rFonts w:ascii="Arial" w:hAnsi="Arial" w:cs="Arial"/>
                <w:sz w:val="18"/>
              </w:rPr>
            </w:pPr>
          </w:p>
        </w:tc>
      </w:tr>
    </w:tbl>
    <w:p w:rsidR="00C15422" w:rsidRPr="003F6A74" w:rsidRDefault="00C15422" w:rsidP="00850F2D">
      <w:pPr>
        <w:numPr>
          <w:ilvl w:val="0"/>
          <w:numId w:val="1"/>
        </w:numPr>
        <w:spacing w:beforeLines="20" w:before="48" w:afterLines="20" w:after="48"/>
        <w:rPr>
          <w:rFonts w:ascii="Arial" w:hAnsi="Arial" w:cs="Arial"/>
          <w:b/>
          <w:sz w:val="18"/>
        </w:rPr>
      </w:pPr>
      <w:r w:rsidRPr="003F6A74">
        <w:rPr>
          <w:rFonts w:ascii="Arial" w:hAnsi="Arial" w:cs="Arial"/>
          <w:b/>
          <w:sz w:val="18"/>
        </w:rPr>
        <w:t xml:space="preserve">Calendar: </w:t>
      </w:r>
      <w:r w:rsidRPr="003F6A74">
        <w:rPr>
          <w:rFonts w:ascii="Arial" w:hAnsi="Arial" w:cs="Arial"/>
          <w:sz w:val="18"/>
        </w:rPr>
        <w:t>Department calendars must comply with the TU Promotion and Tenure Calendar, and specify the following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7830"/>
        <w:gridCol w:w="1080"/>
        <w:gridCol w:w="1080"/>
      </w:tblGrid>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deadline for application for consideration for promotion and/or tenure</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3-23</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deadline for the election of department committee members</w:t>
            </w:r>
          </w:p>
        </w:tc>
        <w:tc>
          <w:tcPr>
            <w:tcW w:w="1080" w:type="dxa"/>
          </w:tcPr>
          <w:p w:rsidR="00C15422" w:rsidRPr="003F6A74" w:rsidRDefault="00C15422" w:rsidP="00850F2D">
            <w:pPr>
              <w:spacing w:beforeLines="20" w:before="48" w:afterLines="20" w:after="48"/>
              <w:rPr>
                <w:rFonts w:ascii="Arial" w:hAnsi="Arial" w:cs="Arial"/>
                <w:b/>
                <w:sz w:val="18"/>
              </w:rPr>
            </w:pPr>
            <w:r w:rsidRPr="003F6A74">
              <w:rPr>
                <w:rFonts w:ascii="Arial" w:hAnsi="Arial" w:cs="Arial"/>
                <w:b/>
                <w:sz w:val="18"/>
              </w:rPr>
              <w:t>*</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approval of non-department PTRM members</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3-30</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due date for Evaluation Portfolio</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3-34-37</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dates from the university calendar with which the department  must comply</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3-34-37</w:t>
            </w:r>
          </w:p>
        </w:tc>
        <w:tc>
          <w:tcPr>
            <w:tcW w:w="1080" w:type="dxa"/>
          </w:tcPr>
          <w:p w:rsidR="00C15422" w:rsidRPr="003F6A74" w:rsidRDefault="00C15422" w:rsidP="00850F2D">
            <w:pPr>
              <w:spacing w:beforeLines="20" w:before="48" w:afterLines="20" w:after="48"/>
              <w:rPr>
                <w:rFonts w:ascii="Arial" w:hAnsi="Arial" w:cs="Arial"/>
                <w:sz w:val="18"/>
              </w:rPr>
            </w:pPr>
          </w:p>
        </w:tc>
      </w:tr>
      <w:tr w:rsidR="00C15422" w:rsidRPr="003F6A74">
        <w:tc>
          <w:tcPr>
            <w:tcW w:w="450" w:type="dxa"/>
          </w:tcPr>
          <w:p w:rsidR="00C15422" w:rsidRPr="003F6A74" w:rsidRDefault="00C15422" w:rsidP="00850F2D">
            <w:pPr>
              <w:spacing w:beforeLines="20" w:before="48" w:afterLines="20" w:after="48"/>
              <w:rPr>
                <w:rFonts w:ascii="Arial" w:hAnsi="Arial" w:cs="Arial"/>
                <w:sz w:val="18"/>
              </w:rPr>
            </w:pPr>
          </w:p>
        </w:tc>
        <w:tc>
          <w:tcPr>
            <w:tcW w:w="7830" w:type="dxa"/>
          </w:tcPr>
          <w:p w:rsidR="00C15422" w:rsidRPr="003F6A74" w:rsidRDefault="00C15422" w:rsidP="00850F2D">
            <w:pPr>
              <w:numPr>
                <w:ilvl w:val="1"/>
                <w:numId w:val="1"/>
              </w:numPr>
              <w:tabs>
                <w:tab w:val="num" w:pos="360"/>
              </w:tabs>
              <w:spacing w:beforeLines="20" w:before="48" w:afterLines="20" w:after="48"/>
              <w:ind w:left="360"/>
              <w:rPr>
                <w:rFonts w:ascii="Arial" w:hAnsi="Arial" w:cs="Arial"/>
                <w:sz w:val="18"/>
              </w:rPr>
            </w:pPr>
            <w:r w:rsidRPr="003F6A74">
              <w:rPr>
                <w:rFonts w:ascii="Arial" w:hAnsi="Arial" w:cs="Arial"/>
                <w:sz w:val="18"/>
              </w:rPr>
              <w:t>deadline for revision of document</w:t>
            </w:r>
          </w:p>
        </w:tc>
        <w:tc>
          <w:tcPr>
            <w:tcW w:w="1080" w:type="dxa"/>
          </w:tcPr>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t>3-31</w:t>
            </w:r>
          </w:p>
        </w:tc>
        <w:tc>
          <w:tcPr>
            <w:tcW w:w="1080" w:type="dxa"/>
          </w:tcPr>
          <w:p w:rsidR="00C15422" w:rsidRPr="003F6A74" w:rsidRDefault="00C15422" w:rsidP="00850F2D">
            <w:pPr>
              <w:spacing w:beforeLines="20" w:before="48" w:afterLines="20" w:after="48"/>
              <w:rPr>
                <w:rFonts w:ascii="Arial" w:hAnsi="Arial" w:cs="Arial"/>
                <w:sz w:val="18"/>
              </w:rPr>
            </w:pPr>
          </w:p>
        </w:tc>
      </w:tr>
    </w:tbl>
    <w:p w:rsidR="00C15422" w:rsidRPr="003F6A74" w:rsidRDefault="00C15422" w:rsidP="00850F2D">
      <w:pPr>
        <w:pBdr>
          <w:bottom w:val="single" w:sz="6" w:space="0" w:color="auto"/>
        </w:pBdr>
        <w:spacing w:beforeLines="20" w:before="48" w:afterLines="20" w:after="48"/>
        <w:rPr>
          <w:rFonts w:ascii="Arial" w:hAnsi="Arial" w:cs="Arial"/>
          <w:b/>
          <w:sz w:val="18"/>
        </w:rPr>
      </w:pPr>
      <w:r w:rsidRPr="003F6A74">
        <w:rPr>
          <w:rFonts w:ascii="Arial" w:hAnsi="Arial" w:cs="Arial"/>
          <w:b/>
          <w:sz w:val="18"/>
        </w:rPr>
        <w:t>* Department committee needs to specify</w:t>
      </w:r>
    </w:p>
    <w:p w:rsidR="00C15422" w:rsidRPr="003F6A74" w:rsidRDefault="00C15422" w:rsidP="00850F2D">
      <w:pPr>
        <w:spacing w:beforeLines="20" w:before="48" w:afterLines="20" w:after="48"/>
        <w:rPr>
          <w:rFonts w:ascii="Arial" w:hAnsi="Arial" w:cs="Arial"/>
          <w:b/>
          <w:sz w:val="18"/>
        </w:rPr>
      </w:pPr>
      <w:r w:rsidRPr="003F6A74">
        <w:rPr>
          <w:rFonts w:ascii="Arial" w:hAnsi="Arial" w:cs="Arial"/>
          <w:sz w:val="18"/>
        </w:rPr>
        <w:t>For University PTRM  Committee Only [</w:t>
      </w:r>
      <w:r w:rsidRPr="003F6A74">
        <w:rPr>
          <w:rFonts w:ascii="Arial" w:hAnsi="Arial" w:cs="Arial"/>
          <w:b/>
          <w:sz w:val="18"/>
        </w:rPr>
        <w:t>FORM 11.11.11]</w:t>
      </w:r>
    </w:p>
    <w:p w:rsidR="00C15422" w:rsidRPr="003F6A74" w:rsidRDefault="00C15422" w:rsidP="00850F2D">
      <w:pPr>
        <w:spacing w:beforeLines="20" w:before="48" w:afterLines="20" w:after="48"/>
        <w:rPr>
          <w:rFonts w:ascii="Arial" w:hAnsi="Arial" w:cs="Arial"/>
          <w:sz w:val="18"/>
        </w:rPr>
      </w:pPr>
      <w:r w:rsidRPr="003F6A74">
        <w:rPr>
          <w:rFonts w:ascii="Arial" w:hAnsi="Arial" w:cs="Arial"/>
          <w:sz w:val="18"/>
        </w:rPr>
        <w:sym w:font="Symbol" w:char="F088"/>
      </w:r>
      <w:r w:rsidRPr="003F6A74">
        <w:rPr>
          <w:rFonts w:ascii="Arial" w:hAnsi="Arial" w:cs="Arial"/>
          <w:sz w:val="18"/>
        </w:rPr>
        <w:t xml:space="preserve">  Approved           </w:t>
      </w:r>
      <w:r w:rsidRPr="003F6A74">
        <w:rPr>
          <w:rFonts w:ascii="Arial" w:hAnsi="Arial" w:cs="Arial"/>
          <w:sz w:val="18"/>
        </w:rPr>
        <w:sym w:font="Symbol" w:char="F088"/>
      </w:r>
      <w:r w:rsidRPr="003F6A74">
        <w:rPr>
          <w:rFonts w:ascii="Arial" w:hAnsi="Arial" w:cs="Arial"/>
          <w:sz w:val="18"/>
        </w:rPr>
        <w:t xml:space="preserve"> Not approved                         Date _____________________________</w:t>
      </w:r>
    </w:p>
    <w:p w:rsidR="00C15422" w:rsidRPr="003F6A74" w:rsidRDefault="00C15422" w:rsidP="00F1737B">
      <w:pPr>
        <w:spacing w:beforeLines="20" w:before="48" w:afterLines="20" w:after="48"/>
        <w:rPr>
          <w:rFonts w:ascii="Arial" w:hAnsi="Arial" w:cs="Arial"/>
          <w:sz w:val="18"/>
        </w:rPr>
      </w:pPr>
      <w:r w:rsidRPr="003F6A74">
        <w:rPr>
          <w:rFonts w:ascii="Arial" w:hAnsi="Arial" w:cs="Arial"/>
          <w:sz w:val="18"/>
        </w:rPr>
        <w:sym w:font="Symbol" w:char="F088"/>
      </w:r>
      <w:r w:rsidRPr="003F6A74">
        <w:rPr>
          <w:rFonts w:ascii="Arial" w:hAnsi="Arial" w:cs="Arial"/>
          <w:sz w:val="18"/>
        </w:rPr>
        <w:t xml:space="preserve">  Approved but clarifications needed. Revised document to be submitted by Dean to SharePoint  by _________________________</w:t>
      </w:r>
    </w:p>
    <w:sectPr w:rsidR="00C15422" w:rsidRPr="003F6A74" w:rsidSect="00B3240E">
      <w:pgSz w:w="12240" w:h="15840"/>
      <w:pgMar w:top="720"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b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5443F"/>
    <w:multiLevelType w:val="hybridMultilevel"/>
    <w:tmpl w:val="617E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3B"/>
    <w:rsid w:val="00052987"/>
    <w:rsid w:val="0005563B"/>
    <w:rsid w:val="00203D3A"/>
    <w:rsid w:val="003425AA"/>
    <w:rsid w:val="00387DE1"/>
    <w:rsid w:val="003F6A74"/>
    <w:rsid w:val="00423EA6"/>
    <w:rsid w:val="00427035"/>
    <w:rsid w:val="005E6317"/>
    <w:rsid w:val="005F6C3A"/>
    <w:rsid w:val="0081178B"/>
    <w:rsid w:val="00850F2D"/>
    <w:rsid w:val="009C35B1"/>
    <w:rsid w:val="00A73773"/>
    <w:rsid w:val="00B3240E"/>
    <w:rsid w:val="00B822FC"/>
    <w:rsid w:val="00BC15DA"/>
    <w:rsid w:val="00BC583B"/>
    <w:rsid w:val="00C15422"/>
    <w:rsid w:val="00C3277C"/>
    <w:rsid w:val="00C32F05"/>
    <w:rsid w:val="00D01919"/>
    <w:rsid w:val="00F1737B"/>
    <w:rsid w:val="00F90CEE"/>
    <w:rsid w:val="00FB2F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88C04-58A8-4BD1-B357-EF06CCCD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7C"/>
    <w:rPr>
      <w:rFonts w:ascii="Sabon" w:hAnsi="Sab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TOWSON UNIVERSITY - PROMOTION, TENURE/REAPPOINTMENT, AND MERIT COMMITTEE</vt:lpstr>
    </vt:vector>
  </TitlesOfParts>
  <Company>Towson University</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TOWSON UNIVERSITY - PROMOTION, TENURE/REAPPOINTMENT, AND MERIT COMMITTEE</dc:title>
  <dc:creator>Goran Trajkovski</dc:creator>
  <cp:lastModifiedBy>Livingston, Hillary E.</cp:lastModifiedBy>
  <cp:revision>2</cp:revision>
  <dcterms:created xsi:type="dcterms:W3CDTF">2016-01-15T20:40:00Z</dcterms:created>
  <dcterms:modified xsi:type="dcterms:W3CDTF">2016-01-15T20:40:00Z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